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Bold" w:cs="Times New Roman Bold" w:hAnsi="Times New Roman Bold" w:eastAsia="Times New Roman Bold"/>
          <w:sz w:val="24"/>
          <w:szCs w:val="24"/>
        </w:rPr>
      </w:pPr>
      <w:r>
        <w:rPr>
          <w:rFonts w:ascii="Times New Roman" w:cs="Arial Unicode MS" w:hAnsi="Arial Unicode MS" w:eastAsia="Arial Unicode MS"/>
          <w:sz w:val="36"/>
          <w:szCs w:val="36"/>
          <w:rtl w:val="0"/>
          <w:lang w:val="en-US"/>
        </w:rPr>
        <w:t>Hawaii Ophthalmological Society Meeting</w:t>
      </w:r>
    </w:p>
    <w:p>
      <w:pPr>
        <w:pStyle w:val="Body A"/>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 xml:space="preserve">Thursday </w:t>
      </w:r>
      <w:r>
        <w:rPr>
          <w:rFonts w:ascii="Times New Roman Bold"/>
          <w:sz w:val="24"/>
          <w:szCs w:val="24"/>
          <w:rtl w:val="0"/>
          <w:lang w:val="en-US"/>
        </w:rPr>
        <w:t>21</w:t>
      </w:r>
      <w:r>
        <w:rPr>
          <w:rFonts w:ascii="Times New Roman Bold"/>
          <w:sz w:val="24"/>
          <w:szCs w:val="24"/>
          <w:rtl w:val="0"/>
          <w:lang w:val="en-US"/>
        </w:rPr>
        <w:t>, 2014  6:00 pm</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Nobu Waikiki</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36"/>
          <w:szCs w:val="36"/>
        </w:rPr>
      </w:pPr>
      <w:r>
        <w:rPr>
          <w:rFonts w:ascii="Times New Roman Bold"/>
          <w:sz w:val="36"/>
          <w:szCs w:val="36"/>
          <w:rtl w:val="0"/>
          <w:lang w:val="en-US"/>
        </w:rPr>
        <w:t>Agenda</w:t>
      </w:r>
    </w:p>
    <w:p>
      <w:pPr>
        <w:pStyle w:val="Body A"/>
        <w:jc w:val="both"/>
        <w:rPr>
          <w:rFonts w:ascii="Arial Bold" w:cs="Arial Bold" w:hAnsi="Arial Bold" w:eastAsia="Arial Bold"/>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1. Call meeting to order 6:0</w:t>
      </w:r>
      <w:r>
        <w:rPr>
          <w:rFonts w:ascii="Times New Roman Bold"/>
          <w:sz w:val="24"/>
          <w:szCs w:val="24"/>
          <w:rtl w:val="0"/>
          <w:lang w:val="sv-SE"/>
        </w:rPr>
        <w:t xml:space="preserve">0 pm - Bill Wong </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2. Introduction of guests -</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3. Approve minutes from Ju</w:t>
      </w:r>
      <w:r>
        <w:rPr>
          <w:rFonts w:ascii="Times New Roman Bold"/>
          <w:sz w:val="24"/>
          <w:szCs w:val="24"/>
          <w:rtl w:val="0"/>
          <w:lang w:val="en-US"/>
        </w:rPr>
        <w:t>ly</w:t>
      </w:r>
      <w:r>
        <w:rPr>
          <w:rFonts w:ascii="Times New Roman Bold"/>
          <w:sz w:val="24"/>
          <w:szCs w:val="24"/>
          <w:rtl w:val="0"/>
          <w:lang w:val="en-US"/>
        </w:rPr>
        <w:t xml:space="preserve"> Meeting</w:t>
      </w:r>
    </w:p>
    <w:p>
      <w:pPr>
        <w:pStyle w:val="Body A"/>
        <w:numPr>
          <w:ilvl w:val="0"/>
          <w:numId w:val="3"/>
        </w:numPr>
        <w:tabs>
          <w:tab w:val="num" w:pos="139"/>
          <w:tab w:val="left" w:pos="167"/>
          <w:tab w:val="left" w:pos="200"/>
          <w:tab w:val="left" w:pos="240"/>
        </w:tabs>
        <w:bidi w:val="0"/>
        <w:ind w:left="139" w:right="0" w:hanging="139"/>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Announcements - HOS Annual Meeting 9/6/2014, 1:00 pm - 8:00 pm</w:t>
      </w:r>
      <w:r>
        <w:rPr>
          <w:rFonts w:hAnsi="Times New Roman Bold" w:hint="default"/>
          <w:sz w:val="24"/>
          <w:szCs w:val="24"/>
          <w:rtl w:val="0"/>
          <w:lang w:val="en-US"/>
        </w:rPr>
        <w:t xml:space="preserve">— </w:t>
      </w:r>
      <w:r>
        <w:rPr>
          <w:rFonts w:ascii="Times New Roman Bold"/>
          <w:sz w:val="24"/>
          <w:szCs w:val="24"/>
          <w:rtl w:val="0"/>
          <w:lang w:val="en-US"/>
        </w:rPr>
        <w:t>Waikiki Prince Hotel, Organizer: Ming Chen</w:t>
      </w:r>
    </w:p>
    <w:p>
      <w:pPr>
        <w:pStyle w:val="Body A"/>
        <w:rPr>
          <w:rFonts w:ascii="Times New Roman Bold" w:cs="Times New Roman Bold" w:hAnsi="Times New Roman Bold" w:eastAsia="Times New Roman Bold"/>
          <w:sz w:val="24"/>
          <w:szCs w:val="24"/>
        </w:rPr>
      </w:pPr>
    </w:p>
    <w:p>
      <w:pPr>
        <w:pStyle w:val="Body A"/>
        <w:numPr>
          <w:ilvl w:val="0"/>
          <w:numId w:val="6"/>
        </w:numPr>
        <w:tabs>
          <w:tab w:val="num" w:pos="139"/>
          <w:tab w:val="left" w:pos="167"/>
          <w:tab w:val="left" w:pos="200"/>
          <w:tab w:val="left" w:pos="240"/>
        </w:tabs>
        <w:bidi w:val="0"/>
        <w:ind w:left="139" w:right="0" w:hanging="139"/>
        <w:jc w:val="left"/>
        <w:rPr>
          <w:rFonts w:ascii="Times New Roman Bold" w:cs="Times New Roman Bold" w:hAnsi="Times New Roman Bold" w:eastAsia="Times New Roman Bold"/>
          <w:position w:val="0"/>
          <w:sz w:val="24"/>
          <w:szCs w:val="24"/>
          <w:rtl w:val="0"/>
          <w:lang w:val="en-US"/>
        </w:rPr>
      </w:pPr>
      <w:r>
        <w:rPr>
          <w:rFonts w:ascii="Times New Roman Bold"/>
          <w:sz w:val="24"/>
          <w:szCs w:val="24"/>
          <w:rtl w:val="0"/>
          <w:lang w:val="en-US"/>
        </w:rPr>
        <w:t xml:space="preserve">Old business   </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position w:val="0"/>
          <w:sz w:val="24"/>
          <w:szCs w:val="24"/>
          <w:rtl w:val="0"/>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  Treasurer Report  - Brandon Lee </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  Legislative Report  - Bill Wong</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  Secretary Report  - Gene Ng</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  Councilor Report  - George Nardin </w:t>
      </w:r>
    </w:p>
    <w:p>
      <w:pPr>
        <w:pStyle w:val="Body A"/>
        <w:tabs>
          <w:tab w:val="left" w:pos="240"/>
        </w:tabs>
        <w:rPr>
          <w:rFonts w:ascii="Times New Roman Bold" w:cs="Times New Roman Bold" w:hAnsi="Times New Roman Bold" w:eastAsia="Times New Roman Bold"/>
          <w:sz w:val="24"/>
          <w:szCs w:val="24"/>
        </w:rPr>
      </w:pPr>
    </w:p>
    <w:p>
      <w:pPr>
        <w:pStyle w:val="Body A"/>
        <w:tabs>
          <w:tab w:val="left" w:pos="240"/>
        </w:tabs>
        <w:rPr>
          <w:rFonts w:ascii="Times New Roman Bold" w:cs="Times New Roman Bold" w:hAnsi="Times New Roman Bold" w:eastAsia="Times New Roman Bold"/>
          <w:sz w:val="24"/>
          <w:szCs w:val="24"/>
          <w:rtl w:val="0"/>
        </w:rPr>
      </w:pPr>
      <w:r>
        <w:rPr>
          <w:rFonts w:ascii="Times New Roman Bold"/>
          <w:sz w:val="24"/>
          <w:szCs w:val="24"/>
          <w:rtl w:val="0"/>
          <w:lang w:val="en-US"/>
        </w:rPr>
        <w:t xml:space="preserve">New HOS Website is open for registration - </w:t>
      </w:r>
      <w:hyperlink r:id="rId4" w:history="1">
        <w:r>
          <w:rPr>
            <w:rStyle w:val="Hyperlink.0"/>
            <w:rFonts w:ascii="Times New Roman Bold"/>
            <w:color w:val="000099"/>
            <w:sz w:val="24"/>
            <w:szCs w:val="24"/>
            <w:u w:val="single" w:color="000099"/>
            <w:rtl w:val="0"/>
            <w:lang w:val="en-US"/>
          </w:rPr>
          <w:t>www.hawaiiophthalmology.org</w:t>
        </w:r>
      </w:hyperlink>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Premier Eye Care Response - See letter handout</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rPr>
      </w:pPr>
    </w:p>
    <w:p>
      <w:pPr>
        <w:pStyle w:val="Body A"/>
        <w:numPr>
          <w:ilvl w:val="0"/>
          <w:numId w:val="9"/>
        </w:numPr>
        <w:tabs>
          <w:tab w:val="num" w:pos="139"/>
          <w:tab w:val="left" w:pos="167"/>
          <w:tab w:val="left" w:pos="200"/>
          <w:tab w:val="left" w:pos="240"/>
        </w:tabs>
        <w:bidi w:val="0"/>
        <w:ind w:left="139" w:right="0" w:hanging="139"/>
        <w:jc w:val="left"/>
        <w:rPr>
          <w:rFonts w:ascii="Times New Roman Bold" w:cs="Times New Roman Bold" w:hAnsi="Times New Roman Bold" w:eastAsia="Times New Roman Bold"/>
          <w:position w:val="0"/>
          <w:sz w:val="24"/>
          <w:szCs w:val="24"/>
          <w:rtl w:val="0"/>
          <w:lang w:val="en-US"/>
        </w:rPr>
      </w:pPr>
      <w:r>
        <w:rPr>
          <w:rFonts w:ascii="Times New Roman Bold"/>
          <w:sz w:val="24"/>
          <w:szCs w:val="24"/>
          <w:rtl w:val="0"/>
          <w:lang w:val="en-US"/>
        </w:rPr>
        <w:t xml:space="preserve">New business </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 xml:space="preserve">New member benefit - CPB offering special financing program for Medical/Dental practices. </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 xml:space="preserve">California OD Scope of Practice Bill - </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The Optometry Practice Act creates the State Board of Optometry, which licenses optometrists and regulates their practice. This bill would include the provision of habilitative optometric services within the scope of practice of optometry. The bill would expand the scope of practice of optometrists who are certified to use therapeutic pharmaceutical agents by, among other things, authorizing those optometrists to use all therapeutic pharmaceutical agents approved by the United States Food and Drug Administration and indicated for use in diagnosing and treating the eye conditions covered by these provisions. The bill would also modify the ability of an optometrist certified to use therapeutic pharmaceutical agents to diagnose and treat certain diseases. The bill would require the board to grant a certificate to an optometrist for the use of advanced procedures, as defined, if the optometrist meets certain educational and certification requirements. The board would also be required to grant a certificate to an optometrist for immunizations if the optometrist meets certain educational and certification requirements. The bill would authorize the board to allow optometrists to use any noninvasive technology to treat specified conditions.</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Existing law requires optometrists in diagnosing or treating eye disease to be held to the same standard of care as physicians and surgeons and osteopathic physicians and surgeons.</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This bill would expand this requirement to include diagnosing other diseases, and would require an optometrist to consult with and, if necessary, refer to a physician and surgeon or other appropriate health care provider if a situation or condition was beyond the optometrist</w:t>
      </w:r>
      <w:r>
        <w:rPr>
          <w:rFonts w:hAnsi="Times New Roman Bold" w:hint="default"/>
          <w:sz w:val="24"/>
          <w:szCs w:val="24"/>
          <w:rtl w:val="0"/>
          <w:lang w:val="en-US"/>
        </w:rPr>
        <w:t>’</w:t>
      </w:r>
      <w:r>
        <w:rPr>
          <w:rFonts w:ascii="Times New Roman Bold"/>
          <w:sz w:val="24"/>
          <w:szCs w:val="24"/>
          <w:rtl w:val="0"/>
          <w:lang w:val="en-US"/>
        </w:rPr>
        <w:t>s scope of practice.</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The board shall grant to an optometrist, certified pursuant to subdivision (f), a certificate for the use of advanced procedures, as described in subdivision (h), after the optometrist meets the following applicable requirement</w:t>
      </w:r>
      <w:r>
        <w:rPr>
          <w:rFonts w:hAnsi="Times New Roman Bold" w:hint="default"/>
          <w:sz w:val="24"/>
          <w:szCs w:val="24"/>
          <w:rtl w:val="0"/>
          <w:lang w:val="en-US"/>
        </w:rPr>
        <w:t>…</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 xml:space="preserve">For the purposes of this chapter, </w:t>
      </w:r>
      <w:r>
        <w:rPr>
          <w:rFonts w:hAnsi="Times New Roman Bold" w:hint="default"/>
          <w:sz w:val="24"/>
          <w:szCs w:val="24"/>
          <w:rtl w:val="0"/>
          <w:lang w:val="en-US"/>
        </w:rPr>
        <w:t>“</w:t>
      </w:r>
      <w:r>
        <w:rPr>
          <w:rFonts w:ascii="Times New Roman Bold"/>
          <w:sz w:val="24"/>
          <w:szCs w:val="24"/>
          <w:rtl w:val="0"/>
          <w:lang w:val="en-US"/>
        </w:rPr>
        <w:t>advanced procedures</w:t>
      </w:r>
      <w:r>
        <w:rPr>
          <w:rFonts w:hAnsi="Times New Roman Bold" w:hint="default"/>
          <w:sz w:val="24"/>
          <w:szCs w:val="24"/>
          <w:rtl w:val="0"/>
          <w:lang w:val="en-US"/>
        </w:rPr>
        <w:t xml:space="preserve">” </w:t>
      </w:r>
      <w:r>
        <w:rPr>
          <w:rFonts w:ascii="Times New Roman Bold"/>
          <w:sz w:val="24"/>
          <w:szCs w:val="24"/>
          <w:rtl w:val="0"/>
          <w:lang w:val="en-US"/>
        </w:rPr>
        <w:t>means any of the following:</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(1) Therapeutic</w:t>
      </w:r>
      <w:r>
        <w:rPr>
          <w:rFonts w:ascii="Times New Roman Bold"/>
          <w:sz w:val="24"/>
          <w:szCs w:val="24"/>
          <w:rtl w:val="0"/>
          <w:lang w:val="en-US"/>
        </w:rPr>
        <w:t xml:space="preserve"> </w:t>
      </w:r>
      <w:r>
        <w:rPr>
          <w:rFonts w:ascii="Times New Roman Bold"/>
          <w:sz w:val="24"/>
          <w:szCs w:val="24"/>
          <w:rtl w:val="0"/>
          <w:lang w:val="en-US"/>
        </w:rPr>
        <w:t>lasers</w:t>
      </w:r>
      <w:r>
        <w:rPr>
          <w:rFonts w:ascii="Times New Roman Bold"/>
          <w:sz w:val="24"/>
          <w:szCs w:val="24"/>
          <w:rtl w:val="0"/>
          <w:lang w:val="en-US"/>
        </w:rPr>
        <w:t xml:space="preserve"> </w:t>
      </w:r>
      <w:r>
        <w:rPr>
          <w:rFonts w:ascii="Times New Roman Bold"/>
          <w:sz w:val="24"/>
          <w:szCs w:val="24"/>
          <w:rtl w:val="0"/>
          <w:lang w:val="en-US"/>
        </w:rPr>
        <w:t>used</w:t>
      </w:r>
      <w:r>
        <w:rPr>
          <w:rFonts w:ascii="Times New Roman Bold"/>
          <w:sz w:val="24"/>
          <w:szCs w:val="24"/>
          <w:rtl w:val="0"/>
          <w:lang w:val="en-US"/>
        </w:rPr>
        <w:t xml:space="preserve"> </w:t>
      </w:r>
      <w:r>
        <w:rPr>
          <w:rFonts w:ascii="Times New Roman Bold"/>
          <w:sz w:val="24"/>
          <w:szCs w:val="24"/>
          <w:rtl w:val="0"/>
          <w:lang w:val="en-US"/>
        </w:rPr>
        <w:t>for</w:t>
      </w:r>
      <w:r>
        <w:rPr>
          <w:rFonts w:ascii="Times New Roman Bold"/>
          <w:sz w:val="24"/>
          <w:szCs w:val="24"/>
          <w:rtl w:val="0"/>
          <w:lang w:val="en-US"/>
        </w:rPr>
        <w:t xml:space="preserve"> </w:t>
      </w:r>
      <w:r>
        <w:rPr>
          <w:rFonts w:ascii="Times New Roman Bold"/>
          <w:sz w:val="24"/>
          <w:szCs w:val="24"/>
          <w:rtl w:val="0"/>
          <w:lang w:val="en-US"/>
        </w:rPr>
        <w:t>posterior</w:t>
      </w:r>
      <w:r>
        <w:rPr>
          <w:rFonts w:ascii="Times New Roman Bold"/>
          <w:sz w:val="24"/>
          <w:szCs w:val="24"/>
          <w:rtl w:val="0"/>
          <w:lang w:val="en-US"/>
        </w:rPr>
        <w:t xml:space="preserve"> </w:t>
      </w:r>
      <w:r>
        <w:rPr>
          <w:rFonts w:ascii="Times New Roman Bold"/>
          <w:sz w:val="24"/>
          <w:szCs w:val="24"/>
          <w:rtl w:val="0"/>
          <w:lang w:val="en-US"/>
        </w:rPr>
        <w:t>capsulotomy</w:t>
      </w:r>
      <w:r>
        <w:rPr>
          <w:rFonts w:ascii="Times New Roman Bold"/>
          <w:sz w:val="24"/>
          <w:szCs w:val="24"/>
          <w:rtl w:val="0"/>
          <w:lang w:val="en-US"/>
        </w:rPr>
        <w:t xml:space="preserve"> </w:t>
      </w:r>
      <w:r>
        <w:rPr>
          <w:rFonts w:ascii="Times New Roman Bold"/>
          <w:sz w:val="24"/>
          <w:szCs w:val="24"/>
          <w:rtl w:val="0"/>
          <w:lang w:val="en-US"/>
        </w:rPr>
        <w:t>secondary to cataract surgery.</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(2) Therapeutic lasers appropriate for treatment of glaucoma and peripheral iridotomy for the prophylactic treatment of angle closure glaucoma.</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(3) Removal, destruction, or drainage of lesions of the eyelid and adnexa clinically evaluated by the optometrist to be noncancerous.</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(4) Closure of a wound resulting from a procedure described in paragraph (3).</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(5) Injections for the treatment of conditions of the eye and adnexa described in paragraph (1) of subdivision (b), excluding intraorbital injections and injections administered for cosmetic effect.</w:t>
      </w: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lang w:val="en-US"/>
        </w:rPr>
      </w:pPr>
    </w:p>
    <w:p>
      <w:pPr>
        <w:pStyle w:val="Body A"/>
        <w:tabs>
          <w:tab w:val="left" w:pos="167"/>
          <w:tab w:val="left" w:pos="200"/>
          <w:tab w:val="left" w:pos="240"/>
        </w:tabs>
        <w:bidi w:val="0"/>
        <w:ind w:left="0" w:right="0" w:firstLine="0"/>
        <w:jc w:val="left"/>
        <w:rPr>
          <w:rFonts w:ascii="Times New Roman Bold" w:cs="Times New Roman Bold" w:hAnsi="Times New Roman Bold" w:eastAsia="Times New Roman Bold"/>
          <w:sz w:val="24"/>
          <w:szCs w:val="24"/>
          <w:rtl w:val="0"/>
        </w:rPr>
      </w:pPr>
    </w:p>
    <w:p>
      <w:pPr>
        <w:pStyle w:val="Body A"/>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 xml:space="preserve">Speaker/Sponsor - </w:t>
      </w:r>
      <w:r>
        <w:rPr>
          <w:rFonts w:ascii="Times New Roman Bold"/>
          <w:sz w:val="24"/>
          <w:szCs w:val="24"/>
          <w:rtl w:val="0"/>
          <w:lang w:val="en-US"/>
        </w:rPr>
        <w:t xml:space="preserve">Laura Periman, MD - Redmond, WA </w:t>
      </w:r>
    </w:p>
    <w:p>
      <w:pPr>
        <w:pStyle w:val="Body A"/>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sz w:val="24"/>
          <w:szCs w:val="24"/>
          <w:rtl w:val="0"/>
          <w:lang w:val="en-US"/>
        </w:rPr>
        <w:tab/>
        <w:tab/>
        <w:tab/>
      </w:r>
      <w:r>
        <w:rPr>
          <w:rFonts w:ascii="Times New Roman Bold"/>
          <w:sz w:val="24"/>
          <w:szCs w:val="24"/>
          <w:rtl w:val="0"/>
          <w:lang w:val="en-US"/>
        </w:rPr>
        <w:t>Restasis by Allergan</w:t>
      </w:r>
    </w:p>
    <w:p>
      <w:pPr>
        <w:pStyle w:val="Body A"/>
        <w:rPr>
          <w:rFonts w:ascii="Times New Roman Bold" w:cs="Times New Roman Bold" w:hAnsi="Times New Roman Bold" w:eastAsia="Times New Roman Bold"/>
          <w:sz w:val="24"/>
          <w:szCs w:val="24"/>
        </w:rPr>
      </w:pPr>
    </w:p>
    <w:p>
      <w:pPr>
        <w:pStyle w:val="Body A"/>
        <w:numPr>
          <w:ilvl w:val="0"/>
          <w:numId w:val="12"/>
        </w:numPr>
        <w:tabs>
          <w:tab w:val="num" w:pos="200"/>
          <w:tab w:val="left" w:pos="240"/>
        </w:tabs>
        <w:bidi w:val="0"/>
        <w:ind w:left="200" w:right="0" w:hanging="200"/>
        <w:jc w:val="left"/>
        <w:rPr>
          <w:rFonts w:ascii="Times New Roman Bold" w:cs="Times New Roman Bold" w:hAnsi="Times New Roman Bold" w:eastAsia="Times New Roman Bold"/>
          <w:position w:val="0"/>
          <w:rtl w:val="0"/>
        </w:rPr>
      </w:pPr>
      <w:r>
        <w:rPr>
          <w:rFonts w:ascii="Times New Roman Bold"/>
          <w:sz w:val="24"/>
          <w:szCs w:val="24"/>
          <w:rtl w:val="0"/>
          <w:lang w:val="en-US"/>
        </w:rPr>
        <w:t xml:space="preserve">Next meeting </w:t>
      </w:r>
      <w:r>
        <w:rPr>
          <w:rFonts w:ascii="Times New Roman Bold"/>
          <w:sz w:val="24"/>
          <w:szCs w:val="24"/>
          <w:rtl w:val="0"/>
          <w:lang w:val="en-US"/>
        </w:rPr>
        <w:t>September 6</w:t>
      </w:r>
      <w:r>
        <w:rPr>
          <w:rFonts w:ascii="Times New Roman Bold"/>
          <w:sz w:val="24"/>
          <w:szCs w:val="24"/>
          <w:rtl w:val="0"/>
          <w:lang w:val="en-US"/>
        </w:rPr>
        <w:t>, 201</w:t>
      </w:r>
      <w:r>
        <w:rPr>
          <w:rFonts w:ascii="Times New Roman Bold"/>
          <w:sz w:val="24"/>
          <w:szCs w:val="24"/>
          <w:rtl w:val="0"/>
          <w:lang w:val="en-US"/>
        </w:rPr>
        <w:t>4 - Annual Meeting , Hawaii Prince Hotel, Waikiki</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67"/>
          <w:tab w:val="clear" w:pos="0"/>
        </w:tabs>
        <w:ind w:left="167" w:hanging="167"/>
      </w:pPr>
      <w:rPr>
        <w:rFonts w:ascii="Times New Roman Bold" w:cs="Times New Roman Bold" w:hAnsi="Times New Roman Bold" w:eastAsia="Times New Roman Bold"/>
        <w:color w:val="000000"/>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4"/>
      <w:numFmt w:val="decimal"/>
      <w:suff w:val="tab"/>
      <w:lvlText w:val="%1."/>
      <w:lvlJc w:val="left"/>
      <w:pPr>
        <w:tabs>
          <w:tab w:val="num" w:pos="167"/>
          <w:tab w:val="clear" w:pos="0"/>
        </w:tabs>
        <w:ind w:left="167" w:hanging="167"/>
      </w:pPr>
      <w:rPr>
        <w:rFonts w:ascii="Times New Roman Bold" w:cs="Times New Roman Bold" w:hAnsi="Times New Roman Bold" w:eastAsia="Times New Roman Bold"/>
        <w:color w:val="000000"/>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lang w:val="en-US"/>
      </w:rPr>
    </w:lvl>
  </w:abstractNum>
  <w:abstractNum w:abstractNumId="3">
    <w:multiLevelType w:val="multilevel"/>
    <w:lvl w:ilvl="0">
      <w:start w:val="1"/>
      <w:numFmt w:val="decimal"/>
      <w:suff w:val="tab"/>
      <w:lvlText w:val="%1."/>
      <w:lvlJc w:val="left"/>
      <w:pPr>
        <w:tabs>
          <w:tab w:val="num" w:pos="167"/>
          <w:tab w:val="clear" w:pos="0"/>
        </w:tabs>
        <w:ind w:left="167" w:hanging="167"/>
      </w:pPr>
      <w:rPr>
        <w:rFonts w:ascii="Times New Roman Bold" w:cs="Times New Roman Bold" w:hAnsi="Times New Roman Bold" w:eastAsia="Times New Roman Bold"/>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5"/>
      <w:numFmt w:val="decimal"/>
      <w:suff w:val="tab"/>
      <w:lvlText w:val="%1."/>
      <w:lvlJc w:val="left"/>
      <w:pPr>
        <w:tabs>
          <w:tab w:val="num" w:pos="167"/>
          <w:tab w:val="clear" w:pos="0"/>
        </w:tabs>
        <w:ind w:left="167" w:hanging="167"/>
      </w:pPr>
      <w:rPr>
        <w:rFonts w:ascii="Times New Roman Bold" w:cs="Times New Roman Bold" w:hAnsi="Times New Roman Bold" w:eastAsia="Times New Roman Bold"/>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lang w:val="en-US"/>
      </w:rPr>
    </w:lvl>
  </w:abstractNum>
  <w:abstractNum w:abstractNumId="6">
    <w:multiLevelType w:val="multilevel"/>
    <w:lvl w:ilvl="0">
      <w:start w:val="1"/>
      <w:numFmt w:val="decimal"/>
      <w:suff w:val="tab"/>
      <w:lvlText w:val="%1."/>
      <w:lvlJc w:val="left"/>
      <w:pPr>
        <w:tabs>
          <w:tab w:val="num" w:pos="167"/>
          <w:tab w:val="clear" w:pos="0"/>
        </w:tabs>
        <w:ind w:left="167" w:hanging="167"/>
      </w:pPr>
      <w:rPr>
        <w:rFonts w:ascii="Times New Roman Bold" w:cs="Times New Roman Bold" w:hAnsi="Times New Roman Bold" w:eastAsia="Times New Roman Bold"/>
        <w:color w:val="000000"/>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lang w:val="en-US"/>
      </w:rPr>
    </w:lvl>
  </w:abstractNum>
  <w:abstractNum w:abstractNumId="7">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8">
    <w:multiLevelType w:val="multilevel"/>
    <w:styleLink w:val="List 2"/>
    <w:lvl w:ilvl="0">
      <w:start w:val="6"/>
      <w:numFmt w:val="decimal"/>
      <w:suff w:val="tab"/>
      <w:lvlText w:val="%1."/>
      <w:lvlJc w:val="left"/>
      <w:pPr>
        <w:tabs>
          <w:tab w:val="num" w:pos="167"/>
          <w:tab w:val="clear" w:pos="0"/>
        </w:tabs>
        <w:ind w:left="167" w:hanging="167"/>
      </w:pPr>
      <w:rPr>
        <w:rFonts w:ascii="Times New Roman Bold" w:cs="Times New Roman Bold" w:hAnsi="Times New Roman Bold" w:eastAsia="Times New Roman Bold"/>
        <w:color w:val="000000"/>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lang w:val="en-US"/>
      </w:rPr>
    </w:lvl>
  </w:abstractNum>
  <w:abstractNum w:abstractNumId="9">
    <w:multiLevelType w:val="multilevel"/>
    <w:lvl w:ilvl="0">
      <w:start w:val="1"/>
      <w:numFmt w:val="decimal"/>
      <w:suff w:val="tab"/>
      <w:lvlText w:val="%1."/>
      <w:lvlJc w:val="left"/>
      <w:pPr>
        <w:tabs>
          <w:tab w:val="num" w:pos="240"/>
          <w:tab w:val="clear" w:pos="0"/>
        </w:tabs>
        <w:ind w:left="240" w:hanging="240"/>
      </w:pPr>
      <w:rPr>
        <w:rFonts w:ascii="Times New Roman Bold" w:cs="Times New Roman Bold" w:hAnsi="Times New Roman Bold" w:eastAsia="Times New Roman Bold"/>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lang w:val="en-US"/>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7"/>
      <w:numFmt w:val="decimal"/>
      <w:suff w:val="tab"/>
      <w:lvlText w:val="%1."/>
      <w:lvlJc w:val="left"/>
      <w:pPr>
        <w:tabs>
          <w:tab w:val="num" w:pos="240"/>
          <w:tab w:val="clear" w:pos="0"/>
        </w:tabs>
        <w:ind w:left="240" w:hanging="240"/>
      </w:pPr>
      <w:rPr>
        <w:rFonts w:ascii="Times New Roman Bold" w:cs="Times New Roman Bold" w:hAnsi="Times New Roman Bold" w:eastAsia="Times New Roman Bold"/>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None">
    <w:name w:val="None"/>
  </w:style>
  <w:style w:type="character" w:styleId="Hyperlink.0">
    <w:name w:val="Hyperlink.0"/>
    <w:basedOn w:val="None"/>
    <w:next w:val="Hyperlink.0"/>
    <w:rPr>
      <w:rFonts w:ascii="Times New Roman Bold" w:cs="Times New Roman Bold" w:hAnsi="Times New Roman Bold" w:eastAsia="Times New Roman Bold"/>
      <w:color w:val="000099"/>
      <w:sz w:val="24"/>
      <w:szCs w:val="24"/>
      <w:u w:val="single" w:color="000099"/>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awaiiophthalmology.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